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PRAKASAM VENKATACHALAM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444444"/>
          <w:sz w:val="18"/>
          <w:szCs w:val="18"/>
        </w:rPr>
        <w:t xml:space="preserve">College of Computing and Informatics, University of North Carolina at Charlotte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444444"/>
          <w:sz w:val="18"/>
          <w:szCs w:val="18"/>
        </w:rPr>
        <w:t xml:space="preserve">Charlotte, North Carolina, USA  •  prakasamv.com  •  ORCID 0009-0005-4082-5175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444444"/>
          <w:sz w:val="18"/>
          <w:szCs w:val="18"/>
        </w:rPr>
        <w:t xml:space="preserve">IEEE Senior Member — Charlotte Section, Region 3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pacing w:val="20"/>
          <w:sz w:val="20"/>
          <w:szCs w:val="20"/>
        </w:rPr>
        <w:t xml:space="preserve">PROFILE</w:t>
      </w:r>
    </w:p>
    <w:p>
      <w:pPr>
        <w:spacing w:after="8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Enterprise technology architect and applied AI governance researcher with 20+ years designing and delivering large-scale systems across financial services, healthcare, insurance, automotive, and professional networking. Current work focuses on provenance, accountability, and assurance for autonomous and multi-agent AI systems, bridging deployed enterprise architecture practice with peer-reviewed research on trustworthy AI. Combines a practitioner's view of what survives production and audit with a researcher's framing of where current governance controls fail.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pacing w:val="20"/>
          <w:sz w:val="20"/>
          <w:szCs w:val="20"/>
        </w:rPr>
        <w:t xml:space="preserve">EXPERIENCE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Assistant Vice President / Technology Lead</w:t>
      </w:r>
      <w:r>
        <w:rPr>
          <w:rFonts w:ascii="Calibri" w:cs="Calibri" w:eastAsia="Calibri" w:hAnsi="Calibri"/>
          <w:sz w:val="19"/>
          <w:szCs w:val="19"/>
        </w:rPr>
        <w:t xml:space="preserve">  |  LPL Financial, Fort Mill, South Carolina</w:t>
      </w:r>
      <w:r>
        <w:rPr>
          <w:rFonts w:ascii="Calibri" w:cs="Calibri" w:eastAsia="Calibri" w:hAnsi="Calibri"/>
          <w:color w:val="666666"/>
          <w:sz w:val="18"/>
          <w:szCs w:val="18"/>
        </w:rPr>
        <w:t xml:space="preserve">  |  Nov 2021 – Present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Leads architecture and delivery for the ServiceWorks Unified Desktop advisor-service platform serving approximately 6,000 daily users.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Accountable for platform architecture, cloud infrastructure strategy, and security and reliability posture in a regulated financial services environment.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Company Architect</w:t>
      </w:r>
      <w:r>
        <w:rPr>
          <w:rFonts w:ascii="Calibri" w:cs="Calibri" w:eastAsia="Calibri" w:hAnsi="Calibri"/>
          <w:sz w:val="19"/>
          <w:szCs w:val="19"/>
        </w:rPr>
        <w:t xml:space="preserve">  |  Hedasara AI</w:t>
      </w:r>
      <w:r>
        <w:rPr>
          <w:rFonts w:ascii="Calibri" w:cs="Calibri" w:eastAsia="Calibri" w:hAnsi="Calibri"/>
          <w:color w:val="666666"/>
          <w:sz w:val="18"/>
          <w:szCs w:val="18"/>
        </w:rPr>
        <w:t xml:space="preserve">  |  Concurrent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Architecture and technical strategy across product, platform, and operations for an applied AI studio.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Enterprise Architecture and Engineering Roles</w:t>
      </w:r>
      <w:r>
        <w:rPr>
          <w:rFonts w:ascii="Calibri" w:cs="Calibri" w:eastAsia="Calibri" w:hAnsi="Calibri"/>
          <w:sz w:val="19"/>
          <w:szCs w:val="19"/>
        </w:rPr>
        <w:t xml:space="preserve">  |  Bank of America (via Randstad); Cognizant</w:t>
      </w:r>
      <w:r>
        <w:rPr>
          <w:rFonts w:ascii="Calibri" w:cs="Calibri" w:eastAsia="Calibri" w:hAnsi="Calibri"/>
          <w:color w:val="666666"/>
          <w:sz w:val="18"/>
          <w:szCs w:val="18"/>
        </w:rPr>
        <w:t xml:space="preserve">  |  Prior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Enterprise software architecture, cloud infrastructure, and application delivery across financial services, healthcare, insurance, automotive, and professional networking clients.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pacing w:val="20"/>
          <w:sz w:val="20"/>
          <w:szCs w:val="20"/>
        </w:rPr>
        <w:t xml:space="preserve">EDUCATION</w:t>
      </w:r>
    </w:p>
    <w:p>
      <w:pPr>
        <w:spacing w:after="2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M.S., Information Technology — Concentration: Information Security and Privacy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University of North Carolina at Charlotte, Charlotte, North Carolina, USA — 2026</w:t>
      </w:r>
    </w:p>
    <w:p>
      <w:pPr>
        <w:spacing w:after="2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19"/>
          <w:szCs w:val="19"/>
        </w:rPr>
        <w:t xml:space="preserve">B.E., Computer Science and Engineering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Anna University, India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pacing w:val="20"/>
          <w:sz w:val="20"/>
          <w:szCs w:val="20"/>
        </w:rPr>
        <w:t xml:space="preserve">RESEARCH FOCUS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AI governance and runtime assurance • Multi-agent system auditability and attribution • Human-centered AI and trust • Content provenance and detection • Privacy-preserving machine learning • Security of AI-generated code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pacing w:val="20"/>
          <w:sz w:val="20"/>
          <w:szCs w:val="20"/>
        </w:rPr>
        <w:t xml:space="preserve">PUBLICATIONS (2026)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"Adaptive Secure Federated Cloud Framework for High-Accuracy Fraud Detection in Financial Systems," Automatika, vol. 67, no. 1, pp. 452–466 (co-authored).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"Advanced Deep Learning Frameworks for DDoS Attack Forecasting with Neurosymbolic Reasoning," IEEE ICCMI 2026 (sole author).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"AUTHNET++: Extending Neural Authentication to Multimodal and Context-Aware Deep Learning Models," IEEE ICCMI 2026 (sole author).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"Federated Learning and Generative AI for Privacy-Preserving FinTech Cybersecurity," IEEE Secure IoT / Assured and Trusted Computing 2026 (sole author).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sz w:val="19"/>
          <w:szCs w:val="19"/>
        </w:rPr>
        <w:t xml:space="preserve">Published under P. Venkatachalam. Full record available on Google Scholar.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pacing w:val="20"/>
          <w:sz w:val="20"/>
          <w:szCs w:val="20"/>
        </w:rPr>
        <w:t xml:space="preserve">RESEARCH SYSTEMS AND FRAMEWORKS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TrustFeed — </w:t>
      </w:r>
      <w:r>
        <w:rPr>
          <w:rFonts w:ascii="Calibri" w:cs="Calibri" w:eastAsia="Calibri" w:hAnsi="Calibri"/>
          <w:sz w:val="19"/>
          <w:szCs w:val="19"/>
        </w:rPr>
        <w:t xml:space="preserve">Deployed eight-agent LangGraph pipeline for AI-generated content detection, scoring, and disclosure, with a companion human evaluation study across 51 sessions. Empirical finding: human detection accuracy near chance, lowest for AI-generated imagery and video.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AgBOM (Agent Bill of Materials) — </w:t>
      </w:r>
      <w:r>
        <w:rPr>
          <w:rFonts w:ascii="Calibri" w:cs="Calibri" w:eastAsia="Calibri" w:hAnsi="Calibri"/>
          <w:sz w:val="19"/>
          <w:szCs w:val="19"/>
        </w:rPr>
        <w:t xml:space="preserve">Attribution resolution as the core auditability metric for multi-agent systems, including formal impossibility results and Monte Carlo evaluation.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PGAF — </w:t>
      </w:r>
      <w:r>
        <w:rPr>
          <w:rFonts w:ascii="Calibri" w:cs="Calibri" w:eastAsia="Calibri" w:hAnsi="Calibri"/>
          <w:sz w:val="19"/>
          <w:szCs w:val="19"/>
        </w:rPr>
        <w:t xml:space="preserve">Three-plane runtime governance framework for generative systems, with full Monte Carlo evaluation.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IADG (Intent-Aware Data Governance) — </w:t>
      </w:r>
      <w:r>
        <w:rPr>
          <w:rFonts w:ascii="Calibri" w:cs="Calibri" w:eastAsia="Calibri" w:hAnsi="Calibri"/>
          <w:sz w:val="19"/>
          <w:szCs w:val="19"/>
        </w:rPr>
        <w:t xml:space="preserve">Intent-drift detection, fairness-aware data minimization, and multi-stakeholder intent composition.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GAF (Generative Assurance Framework) — </w:t>
      </w:r>
      <w:r>
        <w:rPr>
          <w:rFonts w:ascii="Calibri" w:cs="Calibri" w:eastAsia="Calibri" w:hAnsi="Calibri"/>
          <w:sz w:val="19"/>
          <w:szCs w:val="19"/>
        </w:rPr>
        <w:t xml:space="preserve">Static analysis of AI-generated code across a 300-function corpus and the SecurityEval benchmark using Bandit and Semgrep.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sz w:val="19"/>
          <w:szCs w:val="19"/>
        </w:rPr>
        <w:t xml:space="preserve">Manuscripts in preparation or under review; not yet published.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pacing w:val="20"/>
          <w:sz w:val="20"/>
          <w:szCs w:val="20"/>
        </w:rPr>
        <w:t xml:space="preserve">PROFESSIONAL SERVICE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Editorial board member and reviewer, EthAIca.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Peer reviewer across artificial intelligence, cybersecurity, cloud computing, and software engineering venues.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  <w:r>
        <w:rPr>
          <w:rFonts w:ascii="Calibri" w:cs="Calibri" w:eastAsia="Calibri" w:hAnsi="Calibri"/>
          <w:sz w:val="19"/>
          <w:szCs w:val="19"/>
        </w:rPr>
        <w:t xml:space="preserve">IEEE Senior Member — Charlotte Section, Region 3.</w:t>
      </w:r>
    </w:p>
    <w:p>
      <w:pPr>
        <w:pBdr>
          <w:bottom w:val="single" w:color="1F3864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pacing w:val="20"/>
          <w:sz w:val="20"/>
          <w:szCs w:val="20"/>
        </w:rPr>
        <w:t xml:space="preserve">TECHNICAL DOMAINS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19"/>
          <w:szCs w:val="19"/>
        </w:rPr>
        <w:t xml:space="preserve">Enterprise and solution architecture • Cloud infrastructure and platform engineering • Digital forensics and incident response (DFIR) • Multi-agent AI orchestration • Federated and privacy-preserving machine learning • Application and data security in regulated environments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4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2026-08-08T17:26:48.598Z</dcterms:created>
  <dcterms:modified xsi:type="dcterms:W3CDTF">2026-08-08T17:26:48.598Z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